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215" w:rsidRDefault="001C4150">
      <w:pPr>
        <w:snapToGrid w:val="0"/>
        <w:spacing w:line="640" w:lineRule="exact"/>
        <w:rPr>
          <w:rFonts w:ascii="仿宋" w:eastAsia="仿宋" w:hAnsi="仿宋" w:cs="仿宋"/>
          <w:b/>
          <w:sz w:val="44"/>
          <w:szCs w:val="44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590215" w:rsidRDefault="00590215">
      <w:pPr>
        <w:snapToGrid w:val="0"/>
        <w:spacing w:line="640" w:lineRule="exact"/>
        <w:jc w:val="center"/>
        <w:rPr>
          <w:rFonts w:ascii="宋体" w:hAnsi="宋体" w:cs="宋体"/>
          <w:b/>
          <w:sz w:val="44"/>
          <w:szCs w:val="44"/>
        </w:rPr>
      </w:pPr>
    </w:p>
    <w:p w:rsidR="00590215" w:rsidRDefault="001C4150">
      <w:pPr>
        <w:snapToGrid w:val="0"/>
        <w:spacing w:line="640" w:lineRule="exact"/>
        <w:jc w:val="center"/>
        <w:rPr>
          <w:rFonts w:ascii="宋体" w:hAnsi="宋体" w:cs="宋体"/>
          <w:b/>
          <w:color w:val="000000"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吉林省在线开放课程建设标准（试行）</w:t>
      </w:r>
    </w:p>
    <w:p w:rsidR="00590215" w:rsidRDefault="00590215">
      <w:pPr>
        <w:snapToGrid w:val="0"/>
        <w:spacing w:line="580" w:lineRule="exact"/>
        <w:ind w:firstLine="720"/>
        <w:jc w:val="center"/>
        <w:rPr>
          <w:rFonts w:ascii="仿宋" w:eastAsia="仿宋" w:hAnsi="仿宋" w:cs="仿宋"/>
          <w:bCs/>
          <w:sz w:val="36"/>
          <w:szCs w:val="36"/>
        </w:rPr>
      </w:pPr>
    </w:p>
    <w:p w:rsidR="00590215" w:rsidRDefault="001C4150">
      <w:pPr>
        <w:snapToGrid w:val="0"/>
        <w:spacing w:line="580" w:lineRule="exact"/>
        <w:ind w:firstLine="720"/>
        <w:rPr>
          <w:rFonts w:ascii="黑体" w:eastAsia="黑体" w:hAnsi="黑体" w:cs="黑体"/>
          <w:bCs/>
          <w:sz w:val="36"/>
          <w:szCs w:val="36"/>
        </w:rPr>
      </w:pPr>
      <w:r>
        <w:rPr>
          <w:rFonts w:ascii="黑体" w:eastAsia="黑体" w:hAnsi="黑体" w:cs="黑体" w:hint="eastAsia"/>
          <w:bCs/>
          <w:sz w:val="36"/>
          <w:szCs w:val="36"/>
        </w:rPr>
        <w:t>一、</w:t>
      </w:r>
      <w:r>
        <w:rPr>
          <w:rFonts w:ascii="黑体" w:eastAsia="黑体" w:hAnsi="黑体" w:cs="黑体" w:hint="eastAsia"/>
          <w:sz w:val="32"/>
          <w:szCs w:val="32"/>
        </w:rPr>
        <w:t>课程建设基本要求</w:t>
      </w:r>
    </w:p>
    <w:p w:rsidR="00590215" w:rsidRDefault="001C4150">
      <w:pPr>
        <w:snapToGrid w:val="0"/>
        <w:spacing w:line="58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（一）教学内容设计。</w:t>
      </w:r>
      <w:r>
        <w:rPr>
          <w:rFonts w:ascii="仿宋" w:eastAsia="仿宋" w:hAnsi="仿宋" w:cs="仿宋" w:hint="eastAsia"/>
          <w:sz w:val="32"/>
          <w:szCs w:val="32"/>
        </w:rPr>
        <w:t>遵循有效教学的基本规律，结合在线开放课程教学的特征与需求进行整体的教学设计。根据预设教学目标、学科特点、学生认知规律及教学方式，围绕学科核心概念及教学内容和资源间关系，碎片化组织教学内容及资源、设置教学情境，形成围绕知识点展开、清晰表达知识框架的短视频模块集。每个短视频以5-15分钟时长为宜，针对各模块知识点或专题应设置内嵌测试的作业题或讨论题，以帮助学习者掌握学习内容或测试学习者学习效果。每门课程应有负责人介绍、课程介绍、教学大纲、预备知识、教学辅导、参考资料、考核方式、在线作业、在线题库和在线答疑等。课程设置应与本校课堂教学的要求大体相当。</w:t>
      </w:r>
    </w:p>
    <w:p w:rsidR="00590215" w:rsidRDefault="001C4150">
      <w:pPr>
        <w:snapToGrid w:val="0"/>
        <w:spacing w:line="58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（二）教学模式方法。</w:t>
      </w:r>
      <w:r>
        <w:rPr>
          <w:rFonts w:ascii="仿宋" w:eastAsia="仿宋" w:hAnsi="仿宋" w:cs="仿宋" w:hint="eastAsia"/>
          <w:sz w:val="32"/>
          <w:szCs w:val="32"/>
        </w:rPr>
        <w:t>把握学习任务与教学活动有关系，积极开展案例式、混合式、探究式等多种教学模式的学习，通过网页插入式在线测试、即时网上辅导反馈、线上线下讨论、网上作业提交和批改、网上社区讨论等，促进师生之间、学生之间进行资源共享、问题交流和协作学习。课程设计、教学安排和呈现方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式要符合学习者移动学习和混合式教学的需求。</w:t>
      </w:r>
    </w:p>
    <w:p w:rsidR="00590215" w:rsidRDefault="001C4150">
      <w:pPr>
        <w:spacing w:line="58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（三）教学活动评价。</w:t>
      </w:r>
      <w:r>
        <w:rPr>
          <w:rFonts w:ascii="仿宋" w:eastAsia="仿宋" w:hAnsi="仿宋" w:cs="仿宋" w:hint="eastAsia"/>
          <w:sz w:val="32"/>
          <w:szCs w:val="32"/>
        </w:rPr>
        <w:t>建立多元化学习评价体系，探索线上和线下融合，过程性评价与终结性评价相结合的多元化考核评价模式，促进学生自主性学习、过程性学习和体验式学习。课程成绩由过程性考核和终结性考核综合评定。基于大数据信息采集分析，全程记录和跟踪教师的教学和学生的学习过程、内容、反馈，全面跟踪和掌握每个学生的个性特点、学习行为，改进学校及教师的教学质量，促进因材施教。</w:t>
      </w:r>
    </w:p>
    <w:p w:rsidR="00590215" w:rsidRDefault="001C4150">
      <w:pPr>
        <w:snapToGrid w:val="0"/>
        <w:spacing w:line="58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（四）教学团队建设。</w:t>
      </w:r>
      <w:r>
        <w:rPr>
          <w:rFonts w:ascii="仿宋" w:eastAsia="仿宋" w:hAnsi="仿宋" w:cs="仿宋" w:hint="eastAsia"/>
          <w:sz w:val="32"/>
          <w:szCs w:val="32"/>
        </w:rPr>
        <w:t>课程建设负责人应为高校正式聘用，具有丰富的教学经验的教师，课程组成员（一般3-5人）均在教学一线长期承担本课程教学任务。除主讲教师外，还需配备必要助理教师和现代教育技术人员，能长期在线服务课程建设，承担课程内容更新、在线辅导、答疑等。课程正式运行后，能保证每学年都对外校开放。课程团队应负责课程相关教师的培训及教学研讨工作。课程负责人讲授内容不得少于课程的三分之二。</w:t>
      </w:r>
    </w:p>
    <w:p w:rsidR="00590215" w:rsidRDefault="001C4150">
      <w:pPr>
        <w:snapToGrid w:val="0"/>
        <w:spacing w:line="580" w:lineRule="exact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 xml:space="preserve">  （五）信息安全及知识产权保障。</w:t>
      </w:r>
      <w:r>
        <w:rPr>
          <w:rFonts w:ascii="仿宋" w:eastAsia="仿宋" w:hAnsi="仿宋" w:cs="仿宋" w:hint="eastAsia"/>
          <w:sz w:val="32"/>
          <w:szCs w:val="32"/>
        </w:rPr>
        <w:t>严格遵守国家网络与信息安全管理规范，依法依规开展教学活动，实施对课程内容、讨论内容、学习过程内容的有效监管，防范和及时制止网络有害信息的传播。重视版权和知识产权问题，构建课程内容所使用的图片、音视频等素材应注明出处。相关高校、课程建设团队均须签订平等互利的知识产权保障协议，明确各方权利和义务，切实保障各方权益。</w:t>
      </w:r>
    </w:p>
    <w:p w:rsidR="00590215" w:rsidRDefault="001C4150">
      <w:pPr>
        <w:spacing w:line="640" w:lineRule="exact"/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二、视频制作技术规范</w:t>
      </w:r>
    </w:p>
    <w:p w:rsidR="00590215" w:rsidRDefault="001C4150">
      <w:pPr>
        <w:spacing w:line="640" w:lineRule="exact"/>
        <w:ind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（一）视频内容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1.屏幕图像的构图合理，画面主体突出。人像及肢体动作以及配合讲授选用的板书、画板、教具实物、模型和实验设备等均不能超出镜头所及范围。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2.演播室使用的背景采用彩色喷绘或电脑虚拟、实景等背景。建议采用彩色喷绘背景。背景的颜色、图案不易过多，应保持静态，画面应简洁、明快，有利于营造课堂气氛。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3.摄像镜头应保持与主讲教师目光平视的角度。主讲教师不应较长时间仰视或俯视。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4.使用资料、图片、外景实拍、实验和表演等形象化教学手段，应符合教学内容要求，与讲授内容联系紧密，手段选用恰当。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5.选用影视作品或自拍素材，应注明素材来源。影视作品或自拍素材中涉及人物访谈内容时，除应加注人物介绍外，还应采用滚动式同声字幕。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6.选用的资料、图片等素材画面应清楚，对于历史资料、图片应进行再加工。选用的资料、图片等素材应注明素材来源及原始信息（如字画的作品、生卒年月，影视片断的作品名称、创作年代等信息）。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7.动画的设计与使用，要与课程内容相贴切，能够发挥良好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的教学效果。</w:t>
      </w:r>
    </w:p>
    <w:p w:rsidR="00590215" w:rsidRDefault="001C4150">
      <w:pPr>
        <w:spacing w:line="640" w:lineRule="exact"/>
        <w:ind w:firstLineChars="150"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8.动画的实现须流畅、合理、图像清晰，具有较强的可视性。</w:t>
      </w:r>
    </w:p>
    <w:p w:rsidR="00590215" w:rsidRDefault="001C4150">
      <w:pPr>
        <w:spacing w:line="640" w:lineRule="exact"/>
        <w:ind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（二）视频技术规格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1.视频信号源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（1）稳定性：全片图像同步性能稳定，无失步现象，CTL同步控制信号必须连续：图像无抖动跳跃，色彩无突变，编辑点处图像稳定。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（2）信噪比：图像信噪比不低于55dB，无明显杂波。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（3）色调：白平衡正确，无明显偏色，多机拍摄的镜头衔接处无明显色差。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（4）视频电平：视频全讯号幅度为1Ⅴp-p，最大不超过1.1Ⅴ p-p。其中，消隐电平为0V时，白电平幅度0.7Ⅴp-p，同步信号-0.3V，色同步信号幅度0.3V p-p (以消隐线上下对称)，全片一致。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2.音频信号源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（1）声道：中文内容音频信号记录于第1声道，音乐、音效、同期声记录于第2声道，若有其他文字解说记录于第3声道(如录音设备无第3声道,则录于第2声道)。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（2）电平指标：-2db —— -8db声音应无明显失真、放音过冲、过弱。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（3）音频信噪比不低于48db。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（4）声音和画面要求同步，无交流声或其他杂音等缺陷。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（5）伴音清晰、饱满、圆润，无失真、噪声杂音干扰、音量忽大忽小现象。解说声与现场声无明显比例失调，解说声与背景音乐无明显比例失调。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3.视频压缩格式及技术参数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（1）视频压缩采用H.264/AVC (MPEG-4 Part10)编码、使用二次编码、不包含字幕的MP4格式。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（2）视频码流率：动态码流的最低码率不得低于1024Kb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（3）视频分辨率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前期采用标清4:3拍摄时，请设定为 720×576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前期采用高清16:9拍摄时，请设定为 1280×720或1920×1080。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（4）视频画幅宽高比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分辨率设定为 720×576的，请选定 4:3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分辨率设定为1280×720或1920×1080的，请选定 16:9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（5）视频帧率为25帧/秒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（6）扫描方式采用逐行扫描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4.音频压缩格式及技术参数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（1）音频压缩采用AAC(MPEG4 Part3)格式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 xml:space="preserve">（2）采样率48KHz 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（3）音频码流率128Kbps (恒定)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（4）必须是双声道，必须做混音处理。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5.封装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采用MP4封装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三、演示文稿（PPT）制作规范</w:t>
      </w:r>
    </w:p>
    <w:p w:rsidR="00590215" w:rsidRDefault="001C4150">
      <w:pPr>
        <w:spacing w:line="640" w:lineRule="exact"/>
        <w:ind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（一）制作原则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1.演示文稿（PPT）要求集文字、图形、图像、声音以及视频等多种媒体元素于一体，一般不使用纯文字的演示文稿（PPT）。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2.页面设置要求符合高清格式比例，幻灯片大小为“全屏显示16：9”。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3.整体效果应风格统一、色彩协调、美观大方。</w:t>
      </w:r>
    </w:p>
    <w:p w:rsidR="00590215" w:rsidRDefault="001C4150">
      <w:pPr>
        <w:spacing w:line="640" w:lineRule="exact"/>
        <w:ind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（二）字体与字号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字体与字号参照下表：</w:t>
      </w:r>
    </w:p>
    <w:tbl>
      <w:tblPr>
        <w:tblpPr w:leftFromText="180" w:rightFromText="180" w:vertAnchor="text" w:horzAnchor="margin" w:tblpX="250" w:tblpY="213"/>
        <w:tblW w:w="8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0"/>
        <w:gridCol w:w="1274"/>
        <w:gridCol w:w="1559"/>
        <w:gridCol w:w="1558"/>
        <w:gridCol w:w="1383"/>
      </w:tblGrid>
      <w:tr w:rsidR="0059021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类型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大标题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主讲信息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一级标题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正文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字幕</w:t>
            </w:r>
          </w:p>
        </w:tc>
      </w:tr>
      <w:tr w:rsidR="0059021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字体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大黑、时尚中黑、大隶书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黑体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黑体、魏碑、大宋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雅黑、中宋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雅黑</w:t>
            </w:r>
          </w:p>
        </w:tc>
      </w:tr>
      <w:tr w:rsidR="0059021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字号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??_GB2312" w:eastAsia="Times New Roman" w:hAnsi="华文仿宋"/>
                <w:szCs w:val="21"/>
              </w:rPr>
              <w:t>50</w:t>
            </w:r>
            <w:r>
              <w:rPr>
                <w:rFonts w:ascii="宋体" w:hAnsi="宋体" w:cs="宋体" w:hint="eastAsia"/>
                <w:szCs w:val="21"/>
              </w:rPr>
              <w:t>～</w:t>
            </w:r>
            <w:r>
              <w:rPr>
                <w:rFonts w:ascii="??_GB2312" w:eastAsia="Times New Roman" w:hAnsi="华文仿宋"/>
                <w:szCs w:val="21"/>
              </w:rPr>
              <w:t>70</w:t>
            </w:r>
            <w:r>
              <w:rPr>
                <w:rFonts w:ascii="宋体" w:hAnsi="宋体" w:cs="宋体" w:hint="eastAsia"/>
                <w:szCs w:val="21"/>
              </w:rPr>
              <w:t>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??_GB2312" w:eastAsia="Times New Roman" w:hAnsi="华文仿宋"/>
                <w:szCs w:val="21"/>
              </w:rPr>
              <w:t>36</w:t>
            </w:r>
            <w:r>
              <w:rPr>
                <w:rFonts w:ascii="宋体" w:hAnsi="宋体" w:cs="宋体" w:hint="eastAsia"/>
                <w:szCs w:val="21"/>
              </w:rPr>
              <w:t>～</w:t>
            </w:r>
            <w:r>
              <w:rPr>
                <w:rFonts w:ascii="??_GB2312" w:eastAsia="Times New Roman" w:hAnsi="华文仿宋"/>
                <w:szCs w:val="21"/>
              </w:rPr>
              <w:t>40</w:t>
            </w:r>
            <w:r>
              <w:rPr>
                <w:rFonts w:ascii="宋体" w:hAnsi="宋体" w:cs="宋体" w:hint="eastAsia"/>
                <w:szCs w:val="21"/>
              </w:rPr>
              <w:t>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??_GB2312" w:eastAsia="Times New Roman" w:hAnsi="华文仿宋"/>
                <w:szCs w:val="21"/>
              </w:rPr>
              <w:t>36</w:t>
            </w:r>
            <w:r>
              <w:rPr>
                <w:rFonts w:ascii="宋体" w:hAnsi="宋体" w:cs="宋体" w:hint="eastAsia"/>
                <w:szCs w:val="21"/>
              </w:rPr>
              <w:t>～</w:t>
            </w:r>
            <w:r>
              <w:rPr>
                <w:rFonts w:ascii="??_GB2312" w:eastAsia="Times New Roman" w:hAnsi="华文仿宋"/>
                <w:szCs w:val="21"/>
              </w:rPr>
              <w:t>40</w:t>
            </w:r>
            <w:r>
              <w:rPr>
                <w:rFonts w:ascii="宋体" w:hAnsi="宋体" w:cs="宋体" w:hint="eastAsia"/>
                <w:szCs w:val="21"/>
              </w:rPr>
              <w:t>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??_GB2312" w:eastAsia="Times New Roman" w:hAnsi="华文仿宋"/>
                <w:szCs w:val="21"/>
              </w:rPr>
              <w:t>24</w:t>
            </w:r>
            <w:r>
              <w:rPr>
                <w:rFonts w:ascii="宋体" w:hAnsi="宋体" w:cs="宋体" w:hint="eastAsia"/>
                <w:szCs w:val="21"/>
              </w:rPr>
              <w:t>～</w:t>
            </w:r>
            <w:r>
              <w:rPr>
                <w:rFonts w:ascii="??_GB2312" w:eastAsia="Times New Roman" w:hAnsi="华文仿宋"/>
                <w:szCs w:val="21"/>
              </w:rPr>
              <w:t>32</w:t>
            </w:r>
            <w:r>
              <w:rPr>
                <w:rFonts w:ascii="宋体" w:hAnsi="宋体" w:cs="宋体" w:hint="eastAsia"/>
                <w:szCs w:val="21"/>
              </w:rPr>
              <w:t>磅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??_GB2312" w:eastAsia="Times New Roman" w:hAnsi="华文仿宋"/>
                <w:szCs w:val="21"/>
              </w:rPr>
              <w:t>32</w:t>
            </w:r>
            <w:r>
              <w:rPr>
                <w:rFonts w:ascii="宋体" w:hAnsi="宋体" w:cs="宋体" w:hint="eastAsia"/>
                <w:szCs w:val="21"/>
              </w:rPr>
              <w:t>磅</w:t>
            </w:r>
          </w:p>
        </w:tc>
      </w:tr>
      <w:tr w:rsidR="0059021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应用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上下左右居中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左右居中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左右居中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左对齐或居中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15" w:rsidRDefault="001C4150">
            <w:pPr>
              <w:spacing w:line="640" w:lineRule="exact"/>
              <w:rPr>
                <w:rFonts w:ascii="??_GB2312" w:eastAsia="Times New Roman" w:hAnsi="华文仿宋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左右居中</w:t>
            </w:r>
          </w:p>
        </w:tc>
      </w:tr>
    </w:tbl>
    <w:p w:rsidR="00590215" w:rsidRDefault="001C4150">
      <w:pPr>
        <w:spacing w:line="640" w:lineRule="exact"/>
        <w:ind w:firstLine="640"/>
        <w:rPr>
          <w:rFonts w:ascii="楷体" w:eastAsia="楷体" w:hAnsi="楷体" w:cs="楷体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lastRenderedPageBreak/>
        <w:t>（三）版心与版式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每页四周留出空白，应避免内容顶到页面边缘，边界安全区域分别为左、右130像素内，上、下90像素内。</w:t>
      </w:r>
    </w:p>
    <w:p w:rsidR="00590215" w:rsidRDefault="001C4150">
      <w:pPr>
        <w:spacing w:line="640" w:lineRule="exact"/>
        <w:ind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（四）背景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1.背景色以简洁适中饱和度为主（颜色保持在一至两种色系内）；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2.背景和场景不宜变化过多；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3.文字、图形等内容应与背景对比醒目。</w:t>
      </w:r>
    </w:p>
    <w:p w:rsidR="00590215" w:rsidRDefault="001C4150">
      <w:pPr>
        <w:spacing w:line="640" w:lineRule="exact"/>
        <w:ind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（五）色调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1.色彩的选配应与课程科目相吻合；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2.每一短视频或一系列短视频在配色上应体现出系统性，可选一种主色调再加上一至两种辅助色进行匹配；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3.同一屏里文字不宜超出三种颜色。</w:t>
      </w:r>
    </w:p>
    <w:p w:rsidR="00590215" w:rsidRDefault="001C4150">
      <w:pPr>
        <w:spacing w:line="640" w:lineRule="exact"/>
        <w:ind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（六）字距与行距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1.标题：在文字少的情形下，字距放宽一倍体现舒展性；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2.正文：行距使用1行或1.5行，便于阅读。</w:t>
      </w:r>
    </w:p>
    <w:p w:rsidR="00590215" w:rsidRDefault="001C4150">
      <w:pPr>
        <w:spacing w:line="640" w:lineRule="exact"/>
        <w:ind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（七）配图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1.图像应清晰并能反映出内容主题思想，分辨率应上72dpi以上；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2.图片不可加长或压窄，防止变形；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3.图形使用应通俗易懂，便于理解。</w:t>
      </w:r>
    </w:p>
    <w:p w:rsidR="00590215" w:rsidRDefault="001C4150">
      <w:pPr>
        <w:spacing w:line="640" w:lineRule="exact"/>
        <w:ind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（八）修饰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1.细线条的运用比粗线条更显精致；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2.扁平式的装饰更接近时代审美；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3.有趣味的装饰通常更能吸引人。</w:t>
      </w:r>
    </w:p>
    <w:p w:rsidR="00590215" w:rsidRDefault="001C4150">
      <w:pPr>
        <w:spacing w:line="640" w:lineRule="exact"/>
        <w:ind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（九）版权来源</w:t>
      </w:r>
    </w:p>
    <w:p w:rsidR="00590215" w:rsidRDefault="001C4150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素材选用注意版权，涉及版权问题须加入“版权来源”信息。</w:t>
      </w:r>
    </w:p>
    <w:p w:rsidR="00590215" w:rsidRDefault="00590215">
      <w:pPr>
        <w:spacing w:line="640" w:lineRule="exact"/>
        <w:ind w:firstLine="640"/>
        <w:rPr>
          <w:rFonts w:ascii="仿宋" w:eastAsia="仿宋" w:hAnsi="仿宋" w:cs="仿宋"/>
          <w:sz w:val="32"/>
          <w:szCs w:val="32"/>
        </w:rPr>
      </w:pPr>
    </w:p>
    <w:p w:rsidR="00590215" w:rsidRDefault="00590215">
      <w:pPr>
        <w:widowControl/>
        <w:autoSpaceDN w:val="0"/>
        <w:spacing w:line="640" w:lineRule="exact"/>
        <w:rPr>
          <w:rFonts w:ascii="仿宋" w:eastAsia="仿宋" w:hAnsi="仿宋" w:cs="仿宋"/>
          <w:kern w:val="0"/>
          <w:sz w:val="32"/>
          <w:szCs w:val="32"/>
        </w:rPr>
      </w:pPr>
    </w:p>
    <w:p w:rsidR="00590215" w:rsidRDefault="00590215">
      <w:pPr>
        <w:widowControl/>
        <w:autoSpaceDN w:val="0"/>
        <w:spacing w:line="640" w:lineRule="exact"/>
        <w:rPr>
          <w:rFonts w:ascii="仿宋" w:eastAsia="仿宋" w:hAnsi="仿宋" w:cs="仿宋"/>
          <w:kern w:val="0"/>
          <w:sz w:val="32"/>
          <w:szCs w:val="32"/>
        </w:rPr>
      </w:pPr>
    </w:p>
    <w:p w:rsidR="00590215" w:rsidRDefault="00590215">
      <w:pPr>
        <w:widowControl/>
        <w:autoSpaceDN w:val="0"/>
        <w:spacing w:line="640" w:lineRule="exact"/>
        <w:rPr>
          <w:rFonts w:ascii="仿宋" w:eastAsia="仿宋" w:hAnsi="仿宋" w:cs="仿宋"/>
          <w:kern w:val="0"/>
          <w:sz w:val="32"/>
          <w:szCs w:val="32"/>
        </w:rPr>
      </w:pPr>
    </w:p>
    <w:p w:rsidR="00590215" w:rsidRDefault="00590215">
      <w:pPr>
        <w:widowControl/>
        <w:autoSpaceDN w:val="0"/>
        <w:spacing w:line="640" w:lineRule="exact"/>
        <w:rPr>
          <w:rFonts w:ascii="仿宋" w:eastAsia="仿宋" w:hAnsi="仿宋" w:cs="黑体"/>
          <w:kern w:val="0"/>
          <w:sz w:val="32"/>
          <w:szCs w:val="32"/>
        </w:rPr>
      </w:pPr>
    </w:p>
    <w:p w:rsidR="00590215" w:rsidRDefault="00590215">
      <w:pPr>
        <w:widowControl/>
        <w:autoSpaceDN w:val="0"/>
        <w:spacing w:line="640" w:lineRule="exact"/>
        <w:rPr>
          <w:rFonts w:ascii="仿宋" w:eastAsia="仿宋" w:hAnsi="仿宋" w:cs="黑体"/>
          <w:kern w:val="0"/>
          <w:sz w:val="32"/>
          <w:szCs w:val="32"/>
        </w:rPr>
      </w:pPr>
    </w:p>
    <w:p w:rsidR="00590215" w:rsidRDefault="00590215">
      <w:pPr>
        <w:widowControl/>
        <w:autoSpaceDN w:val="0"/>
        <w:spacing w:line="640" w:lineRule="exact"/>
        <w:rPr>
          <w:rFonts w:ascii="仿宋" w:eastAsia="仿宋" w:hAnsi="仿宋" w:cs="黑体"/>
          <w:kern w:val="0"/>
          <w:sz w:val="32"/>
          <w:szCs w:val="32"/>
        </w:rPr>
      </w:pPr>
    </w:p>
    <w:p w:rsidR="00590215" w:rsidRDefault="00590215">
      <w:pPr>
        <w:widowControl/>
        <w:autoSpaceDN w:val="0"/>
        <w:spacing w:line="640" w:lineRule="exact"/>
        <w:rPr>
          <w:rFonts w:ascii="仿宋" w:eastAsia="仿宋" w:hAnsi="仿宋" w:cs="黑体"/>
          <w:kern w:val="0"/>
          <w:sz w:val="32"/>
          <w:szCs w:val="32"/>
        </w:rPr>
      </w:pPr>
    </w:p>
    <w:p w:rsidR="00590215" w:rsidRDefault="00590215">
      <w:pPr>
        <w:widowControl/>
        <w:autoSpaceDN w:val="0"/>
        <w:spacing w:line="640" w:lineRule="exact"/>
        <w:rPr>
          <w:rFonts w:ascii="仿宋" w:eastAsia="仿宋" w:hAnsi="仿宋" w:cs="黑体"/>
          <w:kern w:val="0"/>
          <w:sz w:val="32"/>
          <w:szCs w:val="32"/>
        </w:rPr>
      </w:pPr>
    </w:p>
    <w:p w:rsidR="00590215" w:rsidRDefault="00590215">
      <w:pPr>
        <w:widowControl/>
        <w:autoSpaceDN w:val="0"/>
        <w:spacing w:line="640" w:lineRule="exact"/>
        <w:rPr>
          <w:rFonts w:ascii="仿宋" w:eastAsia="仿宋" w:hAnsi="仿宋" w:cs="黑体"/>
          <w:kern w:val="0"/>
          <w:sz w:val="32"/>
          <w:szCs w:val="32"/>
        </w:rPr>
      </w:pPr>
    </w:p>
    <w:p w:rsidR="00590215" w:rsidRDefault="00590215">
      <w:pPr>
        <w:widowControl/>
        <w:autoSpaceDN w:val="0"/>
        <w:spacing w:line="640" w:lineRule="exact"/>
      </w:pPr>
    </w:p>
    <w:sectPr w:rsidR="005902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28" w:right="1531" w:bottom="1928" w:left="1531" w:header="851" w:footer="1531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DBC" w:rsidRDefault="006A1DBC" w:rsidP="00FC3CEA">
      <w:r>
        <w:separator/>
      </w:r>
    </w:p>
  </w:endnote>
  <w:endnote w:type="continuationSeparator" w:id="0">
    <w:p w:rsidR="006A1DBC" w:rsidRDefault="006A1DBC" w:rsidP="00FC3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CEA" w:rsidRDefault="00FC3CE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149483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FC3CEA" w:rsidRDefault="00FC3C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C3CEA">
          <w:rPr>
            <w:noProof/>
            <w:lang w:val="zh-CN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:rsidR="00FC3CEA" w:rsidRDefault="00FC3CEA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CEA" w:rsidRDefault="00FC3CE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DBC" w:rsidRDefault="006A1DBC" w:rsidP="00FC3CEA">
      <w:r>
        <w:separator/>
      </w:r>
    </w:p>
  </w:footnote>
  <w:footnote w:type="continuationSeparator" w:id="0">
    <w:p w:rsidR="006A1DBC" w:rsidRDefault="006A1DBC" w:rsidP="00FC3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CEA" w:rsidRDefault="00FC3CE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CEA" w:rsidRDefault="00FC3CE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CEA" w:rsidRDefault="00FC3C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082"/>
    <w:rsid w:val="00173282"/>
    <w:rsid w:val="001C4150"/>
    <w:rsid w:val="00242082"/>
    <w:rsid w:val="00567043"/>
    <w:rsid w:val="00590215"/>
    <w:rsid w:val="005F4F02"/>
    <w:rsid w:val="006A1DBC"/>
    <w:rsid w:val="009376A5"/>
    <w:rsid w:val="00A23B6C"/>
    <w:rsid w:val="00D76E0B"/>
    <w:rsid w:val="00FC3CEA"/>
    <w:rsid w:val="00FD3742"/>
    <w:rsid w:val="5FA40A95"/>
    <w:rsid w:val="61D6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AC39B7E-EC33-4450-B7E6-3ACBAF206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466</Words>
  <Characters>2657</Characters>
  <Application>Microsoft Office Word</Application>
  <DocSecurity>0</DocSecurity>
  <Lines>22</Lines>
  <Paragraphs>6</Paragraphs>
  <ScaleCrop>false</ScaleCrop>
  <Company>微软中国</Company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Dell</cp:lastModifiedBy>
  <cp:revision>7</cp:revision>
  <dcterms:created xsi:type="dcterms:W3CDTF">2016-06-23T01:13:00Z</dcterms:created>
  <dcterms:modified xsi:type="dcterms:W3CDTF">2018-06-07T07:22:00Z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